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Construire un avis argumenté du CSE</w:t>
      </w:r>
    </w:p>
    <w:p>
      <w:r>
        <w:t>Trame Word commentée • Analyse du dossier, préparation de la position et suivi</w:t>
      </w:r>
    </w:p>
    <w:p>
      <w:r>
        <w:t>Ce support aide les élus à passer des informations reçues à une appréciation démontrée et à des demandes vérifiables. Il se complète avec les pièces du dossier. La position finale appartient au CSE ; le cabinet contribue à sa préparation dans le cadre de la mission convenue.</w:t>
      </w:r>
    </w:p>
    <w:p>
      <w:pPr>
        <w:pStyle w:val="Heading2"/>
      </w:pPr>
      <w:r>
        <w:t>Mode d’emploi</w:t>
      </w:r>
    </w:p>
    <w:p>
      <w:r>
        <w:t>Compléter les champs entre crochets. Les pages 1 à 4 servent à l’instruction ; les pages 5 et 6 à la rédaction et au suivi. Retirer les commentaires, exemples et champs inutilisés avant adoption. Conserver les pièces sources dans un dossier de travail à accès maîtrisé.</w:t>
      </w:r>
    </w:p>
    <w:p>
      <w:pPr>
        <w:pStyle w:val="Heading2"/>
      </w:pPr>
      <w:r>
        <w:t>Le dossier et son calendrier</w:t>
      </w:r>
    </w:p>
    <w:p>
      <w:r>
        <w:t>Instance et entreprise : [à compléter]</w:t>
      </w:r>
    </w:p>
    <w:p>
      <w:r>
        <w:t>Objet exact et version examinée : [à compléter]</w:t>
      </w:r>
    </w:p>
    <w:p>
      <w:r>
        <w:t>Périmètre et populations concernés : [à compléter]</w:t>
      </w:r>
    </w:p>
    <w:p>
      <w:r>
        <w:t>Accord ou procédure applicable : [à vérifier]</w:t>
      </w:r>
    </w:p>
    <w:p>
      <w:r>
        <w:t>Documents reçus et dates : [à compléter]</w:t>
      </w:r>
    </w:p>
    <w:p>
      <w:r>
        <w:t>Point de départ du délai et justification : [à vérifier]</w:t>
      </w:r>
    </w:p>
    <w:p>
      <w:r>
        <w:t>Échéance applicable et réunions prévues : [à vérifier]</w:t>
      </w:r>
    </w:p>
    <w:p>
      <w:r>
        <w:t>Question centrale à éclairer : [à formuler]</w:t>
      </w:r>
    </w:p>
    <w:p>
      <w:r>
        <w:rPr>
          <w:i/>
          <w:sz w:val="20"/>
        </w:rPr>
        <w:t>Commentaire méthodologique — Ne pas confondre demande de pièces et suspension du délai. La mention « impossibilité de se prononcer » ne préserve pas, à elle seule, le délai de consultation.</w:t>
      </w:r>
    </w:p>
    <w:p>
      <w:r>
        <w:br w:type="page"/>
      </w:r>
    </w:p>
    <w:p>
      <w:pPr>
        <w:pStyle w:val="Heading1"/>
      </w:pPr>
      <w:r>
        <w:t>2  Établir les constats et les preuves</w:t>
      </w:r>
    </w:p>
    <w:p>
      <w:r>
        <w:t>Dupliquer cette fiche pour chaque enjeu déterminant. Numéroter les constats pour pouvoir les retrouver dans l’avis final.</w:t>
      </w:r>
    </w:p>
    <w:p>
      <w:pPr>
        <w:pStyle w:val="Heading2"/>
      </w:pPr>
      <w:r>
        <w:t>Affirmation examinée</w:t>
      </w:r>
    </w:p>
    <w:p>
      <w:r>
        <w:t>[Ce qu’affirme précisément la direction]</w:t>
      </w:r>
    </w:p>
    <w:p>
      <w:r>
        <w:rPr>
          <w:i/>
          <w:sz w:val="20"/>
        </w:rPr>
        <w:t>Commentaire méthodologique — Reprendre le sens exact et indiquer le document, sa version et sa page.</w:t>
      </w:r>
    </w:p>
    <w:p>
      <w:pPr>
        <w:pStyle w:val="Heading2"/>
      </w:pPr>
      <w:r>
        <w:t>Données et constat</w:t>
      </w:r>
    </w:p>
    <w:p>
      <w:r>
        <w:t>[Source, date, périmètre, calcul reproductible et résultat]</w:t>
      </w:r>
    </w:p>
    <w:p>
      <w:r>
        <w:rPr>
          <w:i/>
          <w:sz w:val="20"/>
        </w:rPr>
        <w:t>Commentaire méthodologique — Contrôler les unités, les périodes et les définitions. Comparer budget et réalisé ; ETP et personnes ; effectif inscrit et disponible.</w:t>
      </w:r>
    </w:p>
    <w:p>
      <w:pPr>
        <w:pStyle w:val="Heading2"/>
      </w:pPr>
      <w:r>
        <w:t>Statut et contradictions</w:t>
      </w:r>
    </w:p>
    <w:p>
      <w:r>
        <w:t>[Établi / corroboré / hypothèse / contesté / non documenté]</w:t>
      </w:r>
    </w:p>
    <w:p>
      <w:r>
        <w:rPr>
          <w:i/>
          <w:sz w:val="20"/>
        </w:rPr>
        <w:t>Commentaire méthodologique — Consigner aussi les pièces défavorables à votre première lecture et la réponse de la direction.</w:t>
      </w:r>
    </w:p>
    <w:p>
      <w:pPr>
        <w:pStyle w:val="Heading2"/>
      </w:pPr>
      <w:r>
        <w:t>Conséquences et limites</w:t>
      </w:r>
    </w:p>
    <w:p>
      <w:r>
        <w:t>[Qui est concerné, par quel mécanisme, à quel horizon]</w:t>
      </w:r>
    </w:p>
    <w:p>
      <w:r>
        <w:rPr>
          <w:i/>
          <w:sz w:val="20"/>
        </w:rPr>
        <w:t>Commentaire méthodologique — Séparer l’effet observé de l’effet anticipé. Ne pas généraliser un témoignage ni identifier une personne dans la restitution.</w:t>
      </w:r>
    </w:p>
    <w:p>
      <w:pPr>
        <w:pStyle w:val="Heading2"/>
      </w:pPr>
      <w:r>
        <w:t>Information complémentaire</w:t>
      </w:r>
    </w:p>
    <w:p>
      <w:r>
        <w:t>[Pièce demandée, utilité, date de demande, réponse]</w:t>
      </w:r>
    </w:p>
    <w:p>
      <w:r>
        <w:rPr>
          <w:i/>
          <w:sz w:val="20"/>
        </w:rPr>
        <w:t>Commentaire méthodologique — Relier chaque manque à une question impossible à apprécier.</w:t>
      </w:r>
    </w:p>
    <w:p>
      <w:pPr>
        <w:pStyle w:val="Heading2"/>
      </w:pPr>
      <w:r>
        <w:t>Conclusion utilisable</w:t>
      </w:r>
    </w:p>
    <w:p>
      <w:r>
        <w:t>[Constat numéroté et degré de certitude]</w:t>
      </w:r>
    </w:p>
    <w:p>
      <w:r>
        <w:rPr>
          <w:i/>
          <w:sz w:val="20"/>
        </w:rPr>
        <w:t>Commentaire méthodologique — Une réserve documentée peut rester pertinente même si le risque ne peut pas être chiffré.</w:t>
      </w:r>
    </w:p>
    <w:p>
      <w:r>
        <w:br w:type="page"/>
      </w:r>
    </w:p>
    <w:p>
      <w:pPr>
        <w:pStyle w:val="Heading1"/>
      </w:pPr>
      <w:r>
        <w:t>3  Tester les hypothèses et les alternatives</w:t>
      </w:r>
    </w:p>
    <w:p>
      <w:pPr>
        <w:pStyle w:val="Heading2"/>
      </w:pPr>
      <w:r>
        <w:t>Reconstituer le mécanisme</w:t>
      </w:r>
    </w:p>
    <w:p>
      <w:r>
        <w:t>[Action prévue] produit [effet intermédiaire] si [conditions], ce qui permettrait [résultat]. Pièces étayant chaque étape : [références].</w:t>
      </w:r>
    </w:p>
    <w:p>
      <w:pPr>
        <w:pStyle w:val="Heading2"/>
      </w:pPr>
      <w:r>
        <w:t>Comparer sur une même base</w:t>
      </w:r>
    </w:p>
    <w:tbl>
      <w:tblPr>
        <w:tblW w:type="auto" w:w="0"/>
        <w:tblLayout w:type="fixed"/>
        <w:tblLook w:firstColumn="1" w:firstRow="1" w:lastColumn="0" w:lastRow="0" w:noHBand="0" w:noVBand="1" w:val="04A0"/>
      </w:tblPr>
      <w:tblGrid>
        <w:gridCol w:w="2088"/>
        <w:gridCol w:w="2592"/>
        <w:gridCol w:w="2592"/>
        <w:gridCol w:w="2592"/>
      </w:tblGrid>
      <w:tr>
        <w:tc>
          <w:tcPr>
            <w:tcW w:type="dxa" w:w="2088"/>
            <w:tcBorders>
              <w:top w:val="single" w:sz="4" w:color="D9D9D9"/>
              <w:left w:val="single" w:sz="4" w:color="D9D9D9"/>
              <w:bottom w:val="single" w:sz="4" w:color="D9D9D9"/>
              <w:right w:val="single" w:sz="4" w:color="D9D9D9"/>
            </w:tcBorders>
            <w:shd w:fill="DCE6F1"/>
          </w:tcPr>
          <w:p>
            <w:pPr>
              <w:spacing w:after="100" w:before="100"/>
            </w:pPr>
            <w:r>
              <w:rPr>
                <w:b/>
                <w:sz w:val="20"/>
              </w:rPr>
              <w:t>Critère</w:t>
            </w:r>
          </w:p>
        </w:tc>
        <w:tc>
          <w:tcPr>
            <w:tcW w:type="dxa" w:w="2592"/>
            <w:tcBorders>
              <w:top w:val="single" w:sz="4" w:color="D9D9D9"/>
              <w:left w:val="single" w:sz="4" w:color="D9D9D9"/>
              <w:bottom w:val="single" w:sz="4" w:color="D9D9D9"/>
              <w:right w:val="single" w:sz="4" w:color="D9D9D9"/>
            </w:tcBorders>
            <w:shd w:fill="DCE6F1"/>
          </w:tcPr>
          <w:p>
            <w:pPr>
              <w:spacing w:after="100" w:before="100"/>
            </w:pPr>
            <w:r>
              <w:rPr>
                <w:b/>
                <w:sz w:val="20"/>
              </w:rPr>
              <w:t>Référence réaliste</w:t>
            </w:r>
          </w:p>
        </w:tc>
        <w:tc>
          <w:tcPr>
            <w:tcW w:type="dxa" w:w="2592"/>
            <w:tcBorders>
              <w:top w:val="single" w:sz="4" w:color="D9D9D9"/>
              <w:left w:val="single" w:sz="4" w:color="D9D9D9"/>
              <w:bottom w:val="single" w:sz="4" w:color="D9D9D9"/>
              <w:right w:val="single" w:sz="4" w:color="D9D9D9"/>
            </w:tcBorders>
            <w:shd w:fill="DCE6F1"/>
          </w:tcPr>
          <w:p>
            <w:pPr>
              <w:spacing w:after="100" w:before="100"/>
            </w:pPr>
            <w:r>
              <w:rPr>
                <w:b/>
                <w:sz w:val="20"/>
              </w:rPr>
              <w:t>Projet présenté</w:t>
            </w:r>
          </w:p>
        </w:tc>
        <w:tc>
          <w:tcPr>
            <w:tcW w:type="dxa" w:w="2592"/>
            <w:tcBorders>
              <w:top w:val="single" w:sz="4" w:color="D9D9D9"/>
              <w:left w:val="single" w:sz="4" w:color="D9D9D9"/>
              <w:bottom w:val="single" w:sz="4" w:color="D9D9D9"/>
              <w:right w:val="single" w:sz="4" w:color="D9D9D9"/>
            </w:tcBorders>
            <w:shd w:fill="DCE6F1"/>
          </w:tcPr>
          <w:p>
            <w:pPr>
              <w:spacing w:after="100" w:before="100"/>
            </w:pPr>
            <w:r>
              <w:rPr>
                <w:b/>
                <w:sz w:val="20"/>
              </w:rPr>
              <w:t>Alternative</w:t>
            </w:r>
          </w:p>
        </w:tc>
      </w:tr>
      <w:tr>
        <w:tc>
          <w:tcPr>
            <w:tcW w:type="dxa" w:w="2088"/>
            <w:tcBorders>
              <w:top w:val="single" w:sz="4" w:color="D9D9D9"/>
              <w:left w:val="single" w:sz="4" w:color="D9D9D9"/>
              <w:bottom w:val="single" w:sz="4" w:color="D9D9D9"/>
              <w:right w:val="single" w:sz="4" w:color="D9D9D9"/>
            </w:tcBorders>
            <w:shd w:fill="FFFFFF"/>
          </w:tcPr>
          <w:p>
            <w:pPr>
              <w:spacing w:after="100" w:before="100"/>
            </w:pPr>
            <w:r>
              <w:rPr>
                <w:b w:val="0"/>
                <w:sz w:val="20"/>
              </w:rPr>
              <w:t>Coût complet</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[montant / limites]</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[montant / limites]</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[montant / limites]</w:t>
            </w:r>
          </w:p>
        </w:tc>
      </w:tr>
      <w:tr>
        <w:tc>
          <w:tcPr>
            <w:tcW w:type="dxa" w:w="2088"/>
            <w:tcBorders>
              <w:top w:val="single" w:sz="4" w:color="D9D9D9"/>
              <w:left w:val="single" w:sz="4" w:color="D9D9D9"/>
              <w:bottom w:val="single" w:sz="4" w:color="D9D9D9"/>
              <w:right w:val="single" w:sz="4" w:color="D9D9D9"/>
            </w:tcBorders>
            <w:shd w:fill="FFFFFF"/>
          </w:tcPr>
          <w:p>
            <w:pPr>
              <w:spacing w:after="100" w:before="100"/>
            </w:pPr>
            <w:r>
              <w:rPr>
                <w:b w:val="0"/>
                <w:sz w:val="20"/>
              </w:rPr>
              <w:t>Capacité et qualité</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[indicateurs]</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[hypothèses]</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[hypothèses]</w:t>
            </w:r>
          </w:p>
        </w:tc>
      </w:tr>
      <w:tr>
        <w:tc>
          <w:tcPr>
            <w:tcW w:type="dxa" w:w="2088"/>
            <w:tcBorders>
              <w:top w:val="single" w:sz="4" w:color="D9D9D9"/>
              <w:left w:val="single" w:sz="4" w:color="D9D9D9"/>
              <w:bottom w:val="single" w:sz="4" w:color="D9D9D9"/>
              <w:right w:val="single" w:sz="4" w:color="D9D9D9"/>
            </w:tcBorders>
            <w:shd w:fill="FFFFFF"/>
          </w:tcPr>
          <w:p>
            <w:pPr>
              <w:spacing w:after="100" w:before="100"/>
            </w:pPr>
            <w:r>
              <w:rPr>
                <w:b w:val="0"/>
                <w:sz w:val="20"/>
              </w:rPr>
              <w:t>Effets salariés</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[situation]</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[effets / risques]</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[effets / risques]</w:t>
            </w:r>
          </w:p>
        </w:tc>
      </w:tr>
      <w:tr>
        <w:tc>
          <w:tcPr>
            <w:tcW w:type="dxa" w:w="2088"/>
            <w:tcBorders>
              <w:top w:val="single" w:sz="4" w:color="D9D9D9"/>
              <w:left w:val="single" w:sz="4" w:color="D9D9D9"/>
              <w:bottom w:val="single" w:sz="4" w:color="D9D9D9"/>
              <w:right w:val="single" w:sz="4" w:color="D9D9D9"/>
            </w:tcBorders>
            <w:shd w:fill="FFFFFF"/>
          </w:tcPr>
          <w:p>
            <w:pPr>
              <w:spacing w:after="100" w:before="100"/>
            </w:pPr>
            <w:r>
              <w:rPr>
                <w:b w:val="0"/>
                <w:sz w:val="20"/>
              </w:rPr>
              <w:t>Transition et retour</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[risques existants]</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[moyens / délai]</w:t>
            </w:r>
          </w:p>
        </w:tc>
        <w:tc>
          <w:tcPr>
            <w:tcW w:type="dxa" w:w="2592"/>
            <w:tcBorders>
              <w:top w:val="single" w:sz="4" w:color="D9D9D9"/>
              <w:left w:val="single" w:sz="4" w:color="D9D9D9"/>
              <w:bottom w:val="single" w:sz="4" w:color="D9D9D9"/>
              <w:right w:val="single" w:sz="4" w:color="D9D9D9"/>
            </w:tcBorders>
            <w:shd w:fill="FFFFFF"/>
          </w:tcPr>
          <w:p>
            <w:pPr>
              <w:spacing w:after="100" w:before="100"/>
            </w:pPr>
            <w:r>
              <w:rPr>
                <w:b w:val="0"/>
                <w:sz w:val="20"/>
              </w:rPr>
              <w:t>[moyens / délai]</w:t>
            </w:r>
          </w:p>
        </w:tc>
      </w:tr>
    </w:tbl>
    <w:p>
      <w:r>
        <w:rPr>
          <w:i/>
          <w:sz w:val="20"/>
        </w:rPr>
        <w:t>Commentaire méthodologique — L’existant n’est pas supposé sans risque. Isoler les coûts ponctuels et récurrents, les doubles comptes et les transferts de charge. Les blancs restent signalés comme des limites.</w:t>
      </w:r>
    </w:p>
    <w:p>
      <w:pPr>
        <w:pStyle w:val="Heading2"/>
      </w:pPr>
      <w:r>
        <w:t>Vérifier les variables décisives</w:t>
      </w:r>
    </w:p>
    <w:p>
      <w:r>
        <w:t>Variable : [volume, complexité, disponibilité, gain attendu…]. Hypothèse de la direction : [valeur et source]. Hypothèse prudente : [valeur et justification]. Incidence sur le résultat : [calcul]. Vérification nécessaire : [test ou pièce].</w:t>
      </w:r>
    </w:p>
    <w:p>
      <w:pPr>
        <w:pStyle w:val="Heading2"/>
      </w:pPr>
      <w:r>
        <w:t>Qualifier les conséquences</w:t>
      </w:r>
    </w:p>
    <w:p>
      <w:r>
        <w:t>Population exposée : [métiers, sites, horaires]. Mécanisme : [description]. Gravité possible : [motifs]. Exposition : [faits disponibles]. Incertitudes : [à préciser]. Prévention proposée : [mesure]. Priorité : [bloquant pour apprécier / majeur / amélioration], justifiée par [faits].</w:t>
      </w:r>
    </w:p>
    <w:p>
      <w:r>
        <w:rPr>
          <w:i/>
          <w:sz w:val="20"/>
        </w:rPr>
        <w:t>Commentaire méthodologique — Examiner conjointement économie, emploi, compétences, rémunérations, travail réel, santé, qualité et conséquences environnementales pertinentes. Un score unique ne remplace pas l’analyse.</w:t>
      </w:r>
    </w:p>
    <w:p>
      <w:r>
        <w:br w:type="page"/>
      </w:r>
    </w:p>
    <w:p>
      <w:pPr>
        <w:pStyle w:val="Heading1"/>
      </w:pPr>
      <w:r>
        <w:t>4  Exemple de raisonnement chiffré</w:t>
      </w:r>
    </w:p>
    <w:p>
      <w:r>
        <w:t>Cas entièrement fictif • Aucune donnée client</w:t>
      </w:r>
    </w:p>
    <w:p>
      <w:r>
        <w:t>Exemple entièrement fictif. Un service traite 12 000 dossiers par mois avec 20 ETP disponibles, soit 600 dossiers par ETP. Le projet prévoit 13 200 dossiers avec 18 ETP : 733 dossiers par ETP, soit une hausse de 22,2 % de la production attendue par ETP. Ces ratios supposent des périodes, des disponibilités et une complexité comparables.</w:t>
      </w:r>
    </w:p>
    <w:p>
      <w:r>
        <w:t>La direction annonce un gain de productivité de 15 %. Si cela signifie 15 % de dossiers supplémentaires par ETP, la capacité théorique devient 600 × 1,15 = 690 dossiers par ETP, soit 12 420 dossiers pour 18 ETP. L’écart avec la cible est de 780 dossiers par mois ; le besoin théorique est de 13 200 ÷ 690 = 19,13 ETP. Si le gain désigne une baisse de 15 % du temps par dossier, le calcul change : 600 ÷ 0,85 = 706 dossiers par ETP environ. Il faut donc faire préciser la définition du gain.</w:t>
      </w:r>
    </w:p>
    <w:p>
      <w:r>
        <w:t>Ce calcul révèle une fragilité du dimensionnement sous ces hypothèses. Il ne démontre ni une surcharge individuelle certaine ni un besoin définitif d’embauche : il reste à examiner les pointes, la complexité, les tâches invisibles, les absences, la formation et les possibilités de réaffectation. Le pilote devra mesurer le temps réellement libéré et la qualité, pas seulement le nombre de dossiers clôturés.</w:t>
      </w:r>
    </w:p>
    <w:p>
      <w:r>
        <w:t>Formulation possible de l’avis : « Le dimensionnement proposé n’est pas étayé par les données transmises. Sous l’hypothèse d’un gain de 15 % du nombre de dossiers traités par ETP, la capacité estimée reste inférieure à la cible de 780 dossiers par mois. Le CSE demande la justification des hypothèses, un test intégrant les tâches indirectes et une comparaison avec un déploiement progressif maintenant les moyens pendant la validation des gains. » Cette rédaction doit être adaptée aux pièces et complétée par la position votée.</w:t>
      </w:r>
    </w:p>
    <w:p>
      <w:pPr>
        <w:pStyle w:val="Heading2"/>
      </w:pPr>
      <w:r>
        <w:t>Ce que cet exemple apprend</w:t>
      </w:r>
    </w:p>
    <w:p>
      <w:r>
        <w:t>Clarifier la définition d’un indicateur avant de discuter son niveau. Refaire le calcul, exposer ses limites, puis formuler une demande qui permettra de lever l’incertitude. L’objectif n’est pas de produire une précision artificielle, mais d’identifier la condition dont dépend la faisabilité.</w:t>
      </w:r>
    </w:p>
    <w:p>
      <w:r>
        <w:br w:type="page"/>
      </w:r>
    </w:p>
    <w:p>
      <w:pPr>
        <w:pStyle w:val="Heading1"/>
      </w:pPr>
      <w:r>
        <w:t>5  Projet de texte à soumettre au CSE</w:t>
      </w:r>
    </w:p>
    <w:p>
      <w:r>
        <w:t>Avis du [CSE / CSEC] de [entreprise] sur [objet et version] — Réunion du [date]</w:t>
      </w:r>
    </w:p>
    <w:p>
      <w:pPr>
        <w:pStyle w:val="Heading2"/>
      </w:pPr>
      <w:r>
        <w:t>Objet et information examinée</w:t>
      </w:r>
    </w:p>
    <w:p>
      <w:r>
        <w:t>Le comité a examiné [objet, période, périmètre] au regard des documents [références] et des échanges des [dates]. Les principaux compléments demandés concernent [sujets]. Au jour du présent avis, [réponses reçues et limites restantes].</w:t>
      </w:r>
    </w:p>
    <w:p>
      <w:r>
        <w:rPr>
          <w:i/>
          <w:sz w:val="20"/>
        </w:rPr>
        <w:t>Commentaire méthodologique — Préciser l’incidence de chaque manque significatif. Ne pas affirmer qu’aucune information n’a été fournie si le dossier est seulement incomplet.</w:t>
      </w:r>
    </w:p>
    <w:p>
      <w:pPr>
        <w:pStyle w:val="Heading2"/>
      </w:pPr>
      <w:r>
        <w:t>Constats déterminants</w:t>
      </w:r>
    </w:p>
    <w:p>
      <w:r>
        <w:t>Le comité retient les constats suivants : [C1 : fait, source, interprétation, limite] ; [C2] ; [C3]. Ces constats conduisent à apprécier [conséquences], particulièrement pour [populations], en raison de [mécanismes].</w:t>
      </w:r>
    </w:p>
    <w:p>
      <w:r>
        <w:rPr>
          <w:i/>
          <w:sz w:val="20"/>
        </w:rPr>
        <w:t>Commentaire méthodologique — Hiérarchiser trois à cinq motifs centraux et renvoyer les détails en annexe. Reprendre les éléments favorables étayés ainsi que les désaccords.</w:t>
      </w:r>
    </w:p>
    <w:p>
      <w:pPr>
        <w:pStyle w:val="Heading2"/>
      </w:pPr>
      <w:r>
        <w:t>Appréciation et position</w:t>
      </w:r>
    </w:p>
    <w:p>
      <w:r>
        <w:t>Au regard de [motifs déterminants], le comité émet [position explicite à arrêter collectivement] sur [objet précis]. Cette position repose sur [raisonnement synthétique]. Les incertitudes suivantes restent identifiées : [points et portée].</w:t>
      </w:r>
    </w:p>
    <w:p>
      <w:r>
        <w:rPr>
          <w:i/>
          <w:sz w:val="20"/>
        </w:rPr>
        <w:t>Commentaire méthodologique — Ne conserver qu’une position claire. Les réserves ne constituent pas automatiquement une condition imposable à l’employeur. Le texte préparé ne devient un avis du CSE qu’après son adoption selon les règles applicables.</w:t>
      </w:r>
    </w:p>
    <w:p>
      <w:pPr>
        <w:pStyle w:val="Heading2"/>
      </w:pPr>
      <w:r>
        <w:t>Propositions et suites demandées</w:t>
      </w:r>
    </w:p>
    <w:p>
      <w:r>
        <w:t>Le comité propose [mesure], pour [objectif], avec [moyens], avant [échéance proposée]. Il demande une réponse motivée sur [points] et propose un examen des effets à [date], à partir de [indicateurs et preuves].</w:t>
      </w:r>
    </w:p>
    <w:p>
      <w:r>
        <w:t>Texte adopté le [date]. Résultat du vote : [à renseigner]. Transmission : [destinataire, date, modalité]. Annexes retenues : [liste].</w:t>
      </w:r>
    </w:p>
    <w:p>
      <w:r>
        <w:br w:type="page"/>
      </w:r>
    </w:p>
    <w:p>
      <w:pPr>
        <w:pStyle w:val="Heading1"/>
      </w:pPr>
      <w:r>
        <w:t>6  Organiser les réponses et le suivi</w:t>
      </w:r>
    </w:p>
    <w:p>
      <w:r>
        <w:t>Dupliquer ce registre pour chaque demande. Reporter les réponses effectives et distinguer une proposition du comité d’un engagement accepté.</w:t>
      </w:r>
    </w:p>
    <w:p>
      <w:r>
        <w:t>Demande et constat associé : [référence]</w:t>
      </w:r>
    </w:p>
    <w:p>
      <w:r>
        <w:t>Réponse de la direction et date : [acceptation / refus motivé / contre-proposition / attente]</w:t>
      </w:r>
    </w:p>
    <w:p>
      <w:r>
        <w:t>Engagement effectivement retenu : [contenu exact et preuve]</w:t>
      </w:r>
    </w:p>
    <w:p>
      <w:r>
        <w:t>Responsable et échéance convenus : [à renseigner]</w:t>
      </w:r>
    </w:p>
    <w:p>
      <w:r>
        <w:t>Indicateur, définition, source et fréquence : [à renseigner]</w:t>
      </w:r>
    </w:p>
    <w:p>
      <w:r>
        <w:t>Situation initiale et résultat attendu : [à renseigner]</w:t>
      </w:r>
    </w:p>
    <w:p>
      <w:r>
        <w:t>Seuil d’alerte et point de revue proposés ou convenus : [préciser le statut]</w:t>
      </w:r>
    </w:p>
    <w:p>
      <w:r>
        <w:t>Preuve de réalisation et effet observé : [à renseigner]</w:t>
      </w:r>
    </w:p>
    <w:p>
      <w:r>
        <w:t>Écart constaté et mesure correctrice discutée : [à renseigner]</w:t>
      </w:r>
    </w:p>
    <w:p>
      <w:pPr>
        <w:pStyle w:val="Heading2"/>
      </w:pPr>
      <w:r>
        <w:t>Repères de procédure</w:t>
      </w:r>
    </w:p>
    <w:p>
      <w:r>
        <w:t>Cette méthode vise principalement les attributions consultatives du CSE dans les entreprises d’au moins 50 salariés. Adapter le cadre à l’objet, aux accords et aux procédures particulières, notamment le PSE. L’article L. 2312-15 prévoit une information permettant l’examen, des réponses motivées et une justification des suites données aux avis. Une saisine pour obtenir des pièces ne prolonge pas automatiquement le délai ; le juge peut le prolonger dans les conditions du texte. L’article L. 2312-16 prévoit, à l’expiration du délai applicable, un avis négatif réputé rendu. Une difficulté de calendrier doit donc être traitée pendant la consultation.</w:t>
      </w:r>
    </w:p>
    <w:p>
      <w:r>
        <w:t>Sources officielles consultées le 15 octobre 2026 :</w:t>
      </w:r>
    </w:p>
    <w:p>
      <w:r>
        <w:t>https://code.travail.gouv.fr/code-du-travail/l2312-8</w:t>
      </w:r>
    </w:p>
    <w:p>
      <w:r>
        <w:t>https://code.travail.gouv.fr/code-du-travail/l2312-15</w:t>
      </w:r>
    </w:p>
    <w:p>
      <w:r>
        <w:t>https://code.travail.gouv.fr/code-du-travail/l2312-16</w:t>
      </w:r>
    </w:p>
    <w:p>
      <w:r>
        <w:t>Dossier et accompagnement : https://www.azimut-conseils.fr/avis-argumente-cse/</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Trame commentée • 15 octobre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AZIMUT CONSEILS   |   RESSOURCES POUR LES ÉLUS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